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FB2" w:rsidRDefault="005211BC" w:rsidP="00272C0E">
      <w:pPr>
        <w:rPr>
          <w:b/>
        </w:rPr>
      </w:pPr>
      <w:r>
        <w:rPr>
          <w:b/>
        </w:rPr>
        <w:t xml:space="preserve">3.2.4. </w:t>
      </w:r>
      <w:r w:rsidR="002B41FA" w:rsidRPr="002B41FA">
        <w:rPr>
          <w:b/>
        </w:rPr>
        <w:t>Varmistetaan ympäristöllisiin menettel</w:t>
      </w:r>
      <w:r w:rsidR="002B41FA">
        <w:rPr>
          <w:b/>
        </w:rPr>
        <w:t>yihin liittyvät voimavarat lupaviranomaisi</w:t>
      </w:r>
      <w:r w:rsidR="002B41FA" w:rsidRPr="002B41FA">
        <w:rPr>
          <w:b/>
        </w:rPr>
        <w:t>ss</w:t>
      </w:r>
      <w:r w:rsidR="002B41FA">
        <w:rPr>
          <w:b/>
        </w:rPr>
        <w:t>a ja</w:t>
      </w:r>
      <w:r w:rsidR="002B41FA" w:rsidRPr="002B41FA">
        <w:rPr>
          <w:b/>
        </w:rPr>
        <w:t xml:space="preserve"> hallintotuomioistuimissa</w:t>
      </w:r>
    </w:p>
    <w:p w:rsidR="00F623E6" w:rsidRDefault="00F623E6" w:rsidP="002B41FA">
      <w:pPr>
        <w:spacing w:after="0" w:line="240" w:lineRule="auto"/>
        <w:rPr>
          <w:rFonts w:cs="Myriad Pro"/>
          <w:b/>
          <w:color w:val="000000"/>
        </w:rPr>
      </w:pPr>
      <w:r w:rsidRPr="00F623E6">
        <w:rPr>
          <w:rFonts w:cs="Myriad Pro"/>
          <w:b/>
          <w:color w:val="000000"/>
        </w:rPr>
        <w:t>Tausta:</w:t>
      </w:r>
    </w:p>
    <w:p w:rsidR="00B57588" w:rsidRDefault="00B57588" w:rsidP="00B57588">
      <w:pPr>
        <w:pStyle w:val="Luettelokappale"/>
        <w:suppressAutoHyphens/>
        <w:spacing w:line="240" w:lineRule="auto"/>
        <w:ind w:left="0"/>
        <w:rPr>
          <w:rFonts w:cstheme="minorHAnsi"/>
          <w:color w:val="000000" w:themeColor="text1"/>
        </w:rPr>
      </w:pPr>
    </w:p>
    <w:p w:rsidR="00205B9B" w:rsidRDefault="00205B9B" w:rsidP="00205B9B">
      <w:pPr>
        <w:rPr>
          <w:rFonts w:cstheme="minorHAnsi"/>
        </w:rPr>
      </w:pPr>
      <w:r>
        <w:rPr>
          <w:rFonts w:cstheme="minorHAnsi"/>
        </w:rPr>
        <w:t xml:space="preserve">Ympäristöllisillä menettelyillä ja ympäristötehtävillä on sekä suoraan että välillisesti merkittävä rooli Suomen ilmasto- ja luontotavoitteiden saavuttamiseksi sekä investointien toteutumisen ja ennakoitavan toimintaympäristön, talouskasvun ja ympäristöriskien hallinnan kannalta. Yrityksille ympäristöhallinnon tehtävien hoito ja niiden organisointi näkyvät mm. lupamenettelyjen sujuvuutena, investointien toteutumisaikataulussa ja tietojen toimittamista koskevina velvoitteina. Lähestulkoon kaikki merkittävän mittaluokan fyysiset investoinnit vaativat jonkin ympäristöllisen menettelyn mukaisen luvan tai päätöksen. Joutuisalla lupakäsittelyllä on siten suuri merkitys yritysten toimintaympäristön vakauden ja ennustettavuuden ja myös vihreän siirtymän edellyttämien investointien toteutumisen kannalta. </w:t>
      </w:r>
    </w:p>
    <w:p w:rsidR="00205B9B" w:rsidRDefault="00205B9B" w:rsidP="00205B9B">
      <w:pPr>
        <w:rPr>
          <w:rFonts w:cstheme="minorHAnsi"/>
          <w:color w:val="000000" w:themeColor="text1"/>
        </w:rPr>
      </w:pPr>
      <w:r>
        <w:rPr>
          <w:rFonts w:cstheme="minorHAnsi"/>
          <w:color w:val="000000" w:themeColor="text1"/>
        </w:rPr>
        <w:t xml:space="preserve">Vuoden 2021 lopulla julkaistun </w:t>
      </w:r>
      <w:proofErr w:type="spellStart"/>
      <w:r>
        <w:rPr>
          <w:rFonts w:cstheme="minorHAnsi"/>
          <w:color w:val="000000" w:themeColor="text1"/>
        </w:rPr>
        <w:t>luvituksen</w:t>
      </w:r>
      <w:proofErr w:type="spellEnd"/>
      <w:r>
        <w:rPr>
          <w:rFonts w:cstheme="minorHAnsi"/>
          <w:color w:val="000000" w:themeColor="text1"/>
        </w:rPr>
        <w:t xml:space="preserve"> pullonkauloja selvityksen mukaan viranomaisen toiminnasta johtuvista ympäristölupakäsittelyjen pitkittymisen syistä merkittävin yksittäinen tekijä oli luvan valmis</w:t>
      </w:r>
      <w:r>
        <w:rPr>
          <w:rFonts w:cstheme="minorHAnsi"/>
          <w:color w:val="000000" w:themeColor="text1"/>
        </w:rPr>
        <w:softHyphen/>
        <w:t xml:space="preserve">telijan työkuorma. </w:t>
      </w:r>
      <w:r w:rsidR="00B24E8E">
        <w:rPr>
          <w:rFonts w:cstheme="minorHAnsi"/>
          <w:color w:val="000000" w:themeColor="text1"/>
        </w:rPr>
        <w:t>Vuonna 2021 valmistu</w:t>
      </w:r>
      <w:bookmarkStart w:id="0" w:name="_GoBack"/>
      <w:bookmarkEnd w:id="0"/>
      <w:r w:rsidR="00B24E8E">
        <w:rPr>
          <w:rFonts w:cstheme="minorHAnsi"/>
          <w:color w:val="000000" w:themeColor="text1"/>
        </w:rPr>
        <w:t xml:space="preserve">neen </w:t>
      </w:r>
      <w:r>
        <w:rPr>
          <w:rFonts w:cstheme="minorHAnsi"/>
          <w:color w:val="000000" w:themeColor="text1"/>
        </w:rPr>
        <w:t xml:space="preserve">ympäristönsuojelulain toimivuusarvioinnin (VNTEAS, taitossa) mukaan valvontaviranomaisten resurssit eivät vastaa tarvetta, kun otetaan huomioon lakiin aiemmin tehdyt sujuvoittamistoimet joiden myötä resurssitarpeet ovat siirtyneet jälkikäteiseen laillisuusvalvontaan. </w:t>
      </w:r>
    </w:p>
    <w:p w:rsidR="00205B9B" w:rsidRDefault="00205B9B" w:rsidP="00205B9B">
      <w:pPr>
        <w:rPr>
          <w:rFonts w:cstheme="minorHAnsi"/>
          <w:color w:val="000000" w:themeColor="text1"/>
        </w:rPr>
      </w:pPr>
      <w:r>
        <w:rPr>
          <w:rFonts w:cstheme="minorHAnsi"/>
          <w:color w:val="000000" w:themeColor="text1"/>
        </w:rPr>
        <w:t xml:space="preserve">ELY–uudistuksen toteutuksen jälkeen ympäristöhallinnon voimavaroja on leikattu merkittävästi. Toimintamenoilla palkatut voimavarat ovat vähentyneet 10 vuodessa ympäristövastuualueella 26%. </w:t>
      </w:r>
    </w:p>
    <w:p w:rsidR="00205B9B" w:rsidRDefault="00205B9B" w:rsidP="00205B9B">
      <w:pPr>
        <w:rPr>
          <w:rFonts w:cstheme="minorHAnsi"/>
          <w:color w:val="000000" w:themeColor="text1"/>
        </w:rPr>
      </w:pPr>
      <w:r>
        <w:rPr>
          <w:rFonts w:cstheme="minorHAnsi"/>
          <w:noProof/>
          <w:color w:val="000000" w:themeColor="text1"/>
          <w:lang w:eastAsia="fi-FI"/>
        </w:rPr>
        <w:drawing>
          <wp:inline distT="0" distB="0" distL="0" distR="0" wp14:anchorId="369C9E77" wp14:editId="31781020">
            <wp:extent cx="6123305" cy="1099820"/>
            <wp:effectExtent l="0" t="0" r="0" b="5080"/>
            <wp:docPr id="1" name="Kuva 1" descr="Ku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descr="Kuv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3305" cy="1099820"/>
                    </a:xfrm>
                    <a:prstGeom prst="rect">
                      <a:avLst/>
                    </a:prstGeom>
                    <a:noFill/>
                    <a:ln>
                      <a:noFill/>
                    </a:ln>
                  </pic:spPr>
                </pic:pic>
              </a:graphicData>
            </a:graphic>
          </wp:inline>
        </w:drawing>
      </w:r>
    </w:p>
    <w:p w:rsidR="00205B9B" w:rsidRDefault="00205B9B" w:rsidP="00205B9B">
      <w:pPr>
        <w:spacing w:after="0" w:line="240" w:lineRule="auto"/>
        <w:rPr>
          <w:rFonts w:eastAsia="Times New Roman" w:cstheme="minorHAnsi"/>
          <w:lang w:eastAsia="fi-FI"/>
        </w:rPr>
      </w:pPr>
      <w:r>
        <w:rPr>
          <w:rFonts w:eastAsia="Times New Roman" w:cstheme="minorHAnsi"/>
          <w:lang w:eastAsia="fi-FI"/>
        </w:rPr>
        <w:t>Toimintamenoilla palkatun henkilöstön vähentyminen on jatkunut myös vuoden 2018 jälkeen. Vuoden 2021 lopussa</w:t>
      </w:r>
      <w:r w:rsidR="005B60EF">
        <w:rPr>
          <w:rFonts w:eastAsia="Times New Roman" w:cstheme="minorHAnsi"/>
          <w:lang w:eastAsia="fi-FI"/>
        </w:rPr>
        <w:t xml:space="preserve"> ELY –</w:t>
      </w:r>
      <w:proofErr w:type="gramStart"/>
      <w:r w:rsidR="005B60EF">
        <w:rPr>
          <w:rFonts w:eastAsia="Times New Roman" w:cstheme="minorHAnsi"/>
          <w:lang w:eastAsia="fi-FI"/>
        </w:rPr>
        <w:t xml:space="preserve">keskusten </w:t>
      </w:r>
      <w:r>
        <w:rPr>
          <w:rFonts w:eastAsia="Times New Roman" w:cstheme="minorHAnsi"/>
          <w:lang w:eastAsia="fi-FI"/>
        </w:rPr>
        <w:t xml:space="preserve"> toimintamenoilla</w:t>
      </w:r>
      <w:proofErr w:type="gramEnd"/>
      <w:r>
        <w:rPr>
          <w:rFonts w:eastAsia="Times New Roman" w:cstheme="minorHAnsi"/>
          <w:lang w:eastAsia="fi-FI"/>
        </w:rPr>
        <w:t xml:space="preserve"> palkatun henkilöstön määrä oli noin 600. Aluehallintovirastojen ympäristölupavastuualueen pysyvän henkilöstön määrä on noin 130.</w:t>
      </w:r>
    </w:p>
    <w:p w:rsidR="005211BC" w:rsidRDefault="005211BC" w:rsidP="00B63E81">
      <w:pPr>
        <w:spacing w:after="0" w:line="240" w:lineRule="auto"/>
        <w:rPr>
          <w:rFonts w:eastAsia="Times New Roman" w:cstheme="minorHAnsi"/>
          <w:lang w:eastAsia="fi-FI"/>
        </w:rPr>
      </w:pPr>
    </w:p>
    <w:p w:rsidR="00205B9B" w:rsidRPr="00205B9B" w:rsidRDefault="00205B9B" w:rsidP="00205B9B">
      <w:pPr>
        <w:spacing w:after="0" w:line="240" w:lineRule="auto"/>
        <w:rPr>
          <w:rFonts w:eastAsia="Times New Roman" w:cstheme="minorHAnsi"/>
          <w:b/>
          <w:u w:val="single"/>
          <w:lang w:eastAsia="fi-FI"/>
        </w:rPr>
      </w:pPr>
      <w:r w:rsidRPr="00205B9B">
        <w:rPr>
          <w:rFonts w:eastAsia="Times New Roman" w:cstheme="minorHAnsi"/>
          <w:b/>
          <w:u w:val="single"/>
          <w:lang w:eastAsia="fi-FI"/>
        </w:rPr>
        <w:t>Määräaikaiset lisävoimavarat vuoteen 205-2026 asti</w:t>
      </w:r>
      <w:r>
        <w:rPr>
          <w:rFonts w:eastAsia="Times New Roman" w:cstheme="minorHAnsi"/>
          <w:b/>
          <w:u w:val="single"/>
          <w:lang w:eastAsia="fi-FI"/>
        </w:rPr>
        <w:t>.</w:t>
      </w:r>
    </w:p>
    <w:p w:rsidR="00205B9B" w:rsidRPr="00205B9B" w:rsidRDefault="00205B9B" w:rsidP="00205B9B">
      <w:pPr>
        <w:spacing w:after="0" w:line="240" w:lineRule="auto"/>
        <w:rPr>
          <w:rFonts w:eastAsia="Times New Roman" w:cstheme="minorHAnsi"/>
          <w:b/>
          <w:lang w:eastAsia="fi-FI"/>
        </w:rPr>
      </w:pPr>
      <w:proofErr w:type="spellStart"/>
      <w:r w:rsidRPr="002B41FA">
        <w:rPr>
          <w:rFonts w:eastAsia="Times New Roman" w:cstheme="minorHAnsi"/>
          <w:lang w:eastAsia="fi-FI"/>
        </w:rPr>
        <w:t>Marinin</w:t>
      </w:r>
      <w:proofErr w:type="spellEnd"/>
      <w:r w:rsidRPr="002B41FA">
        <w:rPr>
          <w:rFonts w:eastAsia="Times New Roman" w:cstheme="minorHAnsi"/>
          <w:lang w:eastAsia="fi-FI"/>
        </w:rPr>
        <w:t xml:space="preserve"> hallitus sopi kehysriihessä 2022 seuraavista määräaikaisista voimavaralisäyksistä vihreään siirtymään liittyville lupaviranomaisille</w:t>
      </w:r>
      <w:r>
        <w:rPr>
          <w:rFonts w:eastAsia="Times New Roman" w:cstheme="minorHAnsi"/>
          <w:lang w:eastAsia="fi-FI"/>
        </w:rPr>
        <w:t xml:space="preserve"> (taulukko 1.)</w:t>
      </w:r>
      <w:r w:rsidRPr="002B41FA">
        <w:rPr>
          <w:rFonts w:eastAsia="Times New Roman" w:cstheme="minorHAnsi"/>
          <w:lang w:eastAsia="fi-FI"/>
        </w:rPr>
        <w:t>.</w:t>
      </w:r>
    </w:p>
    <w:p w:rsidR="00205B9B" w:rsidRDefault="00205B9B" w:rsidP="00205B9B">
      <w:pPr>
        <w:spacing w:after="0" w:line="240" w:lineRule="auto"/>
        <w:rPr>
          <w:rFonts w:eastAsia="Times New Roman" w:cstheme="minorHAnsi"/>
          <w:lang w:eastAsia="fi-FI"/>
        </w:rPr>
      </w:pPr>
    </w:p>
    <w:tbl>
      <w:tblPr>
        <w:tblStyle w:val="TaulukkoRuudukko"/>
        <w:tblW w:w="0" w:type="auto"/>
        <w:tblInd w:w="-5" w:type="dxa"/>
        <w:tblLook w:val="04A0" w:firstRow="1" w:lastRow="0" w:firstColumn="1" w:lastColumn="0" w:noHBand="0" w:noVBand="1"/>
      </w:tblPr>
      <w:tblGrid>
        <w:gridCol w:w="3734"/>
        <w:gridCol w:w="767"/>
        <w:gridCol w:w="890"/>
        <w:gridCol w:w="915"/>
        <w:gridCol w:w="915"/>
        <w:gridCol w:w="911"/>
        <w:gridCol w:w="817"/>
        <w:gridCol w:w="684"/>
      </w:tblGrid>
      <w:tr w:rsidR="00205B9B" w:rsidRPr="00EB60CF" w:rsidTr="00205B9B">
        <w:tc>
          <w:tcPr>
            <w:tcW w:w="3734" w:type="dxa"/>
          </w:tcPr>
          <w:p w:rsidR="00205B9B" w:rsidRDefault="00205B9B" w:rsidP="00854C4A">
            <w:pPr>
              <w:rPr>
                <w:rFonts w:cstheme="minorHAnsi"/>
              </w:rPr>
            </w:pPr>
            <w:r>
              <w:rPr>
                <w:rFonts w:cstheme="minorHAnsi"/>
              </w:rPr>
              <w:t>taulukko 1.</w:t>
            </w:r>
          </w:p>
          <w:p w:rsidR="00205B9B" w:rsidRPr="00EB60CF" w:rsidRDefault="00205B9B" w:rsidP="00854C4A">
            <w:pPr>
              <w:rPr>
                <w:rFonts w:cstheme="minorHAnsi"/>
              </w:rPr>
            </w:pPr>
            <w:r>
              <w:rPr>
                <w:rFonts w:cstheme="minorHAnsi"/>
              </w:rPr>
              <w:t>milj. euroa</w:t>
            </w:r>
          </w:p>
        </w:tc>
        <w:tc>
          <w:tcPr>
            <w:tcW w:w="767" w:type="dxa"/>
          </w:tcPr>
          <w:p w:rsidR="00205B9B" w:rsidRPr="00EB60CF" w:rsidRDefault="00205B9B" w:rsidP="00854C4A">
            <w:pPr>
              <w:rPr>
                <w:rFonts w:cstheme="minorHAnsi"/>
              </w:rPr>
            </w:pPr>
            <w:r w:rsidRPr="00EB60CF">
              <w:rPr>
                <w:rFonts w:cstheme="minorHAnsi"/>
              </w:rPr>
              <w:t>LTAE II 2022</w:t>
            </w:r>
          </w:p>
        </w:tc>
        <w:tc>
          <w:tcPr>
            <w:tcW w:w="890" w:type="dxa"/>
          </w:tcPr>
          <w:p w:rsidR="00205B9B" w:rsidRPr="00EB60CF" w:rsidRDefault="00205B9B" w:rsidP="00854C4A">
            <w:pPr>
              <w:rPr>
                <w:rFonts w:cstheme="minorHAnsi"/>
              </w:rPr>
            </w:pPr>
            <w:r w:rsidRPr="00EB60CF">
              <w:rPr>
                <w:rFonts w:cstheme="minorHAnsi"/>
              </w:rPr>
              <w:t>v.2023</w:t>
            </w:r>
          </w:p>
        </w:tc>
        <w:tc>
          <w:tcPr>
            <w:tcW w:w="915" w:type="dxa"/>
          </w:tcPr>
          <w:p w:rsidR="00205B9B" w:rsidRPr="00EB60CF" w:rsidRDefault="00205B9B" w:rsidP="00854C4A">
            <w:pPr>
              <w:rPr>
                <w:rFonts w:cstheme="minorHAnsi"/>
              </w:rPr>
            </w:pPr>
            <w:r w:rsidRPr="00EB60CF">
              <w:rPr>
                <w:rFonts w:cstheme="minorHAnsi"/>
              </w:rPr>
              <w:t>v.2024</w:t>
            </w:r>
          </w:p>
        </w:tc>
        <w:tc>
          <w:tcPr>
            <w:tcW w:w="915" w:type="dxa"/>
          </w:tcPr>
          <w:p w:rsidR="00205B9B" w:rsidRPr="00EB60CF" w:rsidRDefault="00205B9B" w:rsidP="00854C4A">
            <w:pPr>
              <w:rPr>
                <w:rFonts w:cstheme="minorHAnsi"/>
              </w:rPr>
            </w:pPr>
            <w:r w:rsidRPr="00EB60CF">
              <w:rPr>
                <w:rFonts w:cstheme="minorHAnsi"/>
              </w:rPr>
              <w:t>v.2025</w:t>
            </w:r>
          </w:p>
        </w:tc>
        <w:tc>
          <w:tcPr>
            <w:tcW w:w="911" w:type="dxa"/>
          </w:tcPr>
          <w:p w:rsidR="00205B9B" w:rsidRPr="00EB60CF" w:rsidRDefault="00205B9B" w:rsidP="00854C4A">
            <w:pPr>
              <w:rPr>
                <w:rFonts w:cstheme="minorHAnsi"/>
              </w:rPr>
            </w:pPr>
            <w:r w:rsidRPr="00EB60CF">
              <w:rPr>
                <w:rFonts w:cstheme="minorHAnsi"/>
              </w:rPr>
              <w:t>v.2026</w:t>
            </w:r>
          </w:p>
        </w:tc>
        <w:tc>
          <w:tcPr>
            <w:tcW w:w="817" w:type="dxa"/>
          </w:tcPr>
          <w:p w:rsidR="00205B9B" w:rsidRPr="00EB60CF" w:rsidRDefault="00205B9B" w:rsidP="00854C4A">
            <w:pPr>
              <w:rPr>
                <w:rFonts w:cstheme="minorHAnsi"/>
              </w:rPr>
            </w:pPr>
            <w:r>
              <w:rPr>
                <w:rFonts w:cstheme="minorHAnsi"/>
              </w:rPr>
              <w:t>v.2027</w:t>
            </w:r>
          </w:p>
        </w:tc>
        <w:tc>
          <w:tcPr>
            <w:tcW w:w="684" w:type="dxa"/>
          </w:tcPr>
          <w:p w:rsidR="00205B9B" w:rsidRPr="00EB60CF" w:rsidRDefault="00205B9B" w:rsidP="00854C4A">
            <w:pPr>
              <w:rPr>
                <w:rFonts w:cstheme="minorHAnsi"/>
              </w:rPr>
            </w:pPr>
            <w:r>
              <w:rPr>
                <w:rFonts w:cstheme="minorHAnsi"/>
              </w:rPr>
              <w:t>v. 2028</w:t>
            </w:r>
          </w:p>
        </w:tc>
      </w:tr>
      <w:tr w:rsidR="00205B9B" w:rsidRPr="00EB60CF" w:rsidTr="00205B9B">
        <w:tc>
          <w:tcPr>
            <w:tcW w:w="3734" w:type="dxa"/>
          </w:tcPr>
          <w:p w:rsidR="00205B9B" w:rsidRPr="00EB60CF" w:rsidRDefault="00205B9B" w:rsidP="00854C4A">
            <w:pPr>
              <w:rPr>
                <w:rFonts w:cstheme="minorHAnsi"/>
              </w:rPr>
            </w:pPr>
            <w:r w:rsidRPr="00EB60CF">
              <w:rPr>
                <w:rFonts w:cstheme="minorHAnsi"/>
                <w:bCs/>
                <w:u w:val="single"/>
              </w:rPr>
              <w:t>32.01.02</w:t>
            </w:r>
            <w:r w:rsidRPr="00EB60CF">
              <w:rPr>
                <w:rFonts w:cstheme="minorHAnsi"/>
                <w:bCs/>
              </w:rPr>
              <w:t xml:space="preserve"> ELY-keskusten toimintamenot</w:t>
            </w:r>
          </w:p>
        </w:tc>
        <w:tc>
          <w:tcPr>
            <w:tcW w:w="767" w:type="dxa"/>
          </w:tcPr>
          <w:p w:rsidR="00205B9B" w:rsidRPr="00EB60CF" w:rsidRDefault="00205B9B" w:rsidP="00854C4A">
            <w:pPr>
              <w:jc w:val="right"/>
              <w:rPr>
                <w:rFonts w:cstheme="minorHAnsi"/>
              </w:rPr>
            </w:pPr>
            <w:r w:rsidRPr="00EB60CF">
              <w:rPr>
                <w:rFonts w:cstheme="minorHAnsi"/>
              </w:rPr>
              <w:t>2,05</w:t>
            </w:r>
          </w:p>
        </w:tc>
        <w:tc>
          <w:tcPr>
            <w:tcW w:w="890" w:type="dxa"/>
          </w:tcPr>
          <w:p w:rsidR="00205B9B" w:rsidRPr="00EB60CF" w:rsidRDefault="00205B9B" w:rsidP="00854C4A">
            <w:pPr>
              <w:jc w:val="right"/>
              <w:rPr>
                <w:rFonts w:cstheme="minorHAnsi"/>
              </w:rPr>
            </w:pPr>
            <w:r w:rsidRPr="00EB60CF">
              <w:rPr>
                <w:rFonts w:cstheme="minorHAnsi"/>
              </w:rPr>
              <w:t>4,1</w:t>
            </w:r>
          </w:p>
        </w:tc>
        <w:tc>
          <w:tcPr>
            <w:tcW w:w="915" w:type="dxa"/>
          </w:tcPr>
          <w:p w:rsidR="00205B9B" w:rsidRPr="00EB60CF" w:rsidRDefault="00205B9B" w:rsidP="00854C4A">
            <w:pPr>
              <w:jc w:val="right"/>
              <w:rPr>
                <w:rFonts w:cstheme="minorHAnsi"/>
              </w:rPr>
            </w:pPr>
            <w:r w:rsidRPr="00EB60CF">
              <w:rPr>
                <w:rFonts w:cstheme="minorHAnsi"/>
              </w:rPr>
              <w:t>4,1</w:t>
            </w:r>
          </w:p>
        </w:tc>
        <w:tc>
          <w:tcPr>
            <w:tcW w:w="915" w:type="dxa"/>
          </w:tcPr>
          <w:p w:rsidR="00205B9B" w:rsidRPr="00EB60CF" w:rsidRDefault="00205B9B" w:rsidP="00854C4A">
            <w:pPr>
              <w:jc w:val="right"/>
              <w:rPr>
                <w:rFonts w:cstheme="minorHAnsi"/>
              </w:rPr>
            </w:pPr>
            <w:r w:rsidRPr="00EB60CF">
              <w:rPr>
                <w:rFonts w:cstheme="minorHAnsi"/>
              </w:rPr>
              <w:t>4,1</w:t>
            </w:r>
          </w:p>
        </w:tc>
        <w:tc>
          <w:tcPr>
            <w:tcW w:w="911" w:type="dxa"/>
          </w:tcPr>
          <w:p w:rsidR="00205B9B" w:rsidRPr="00EB60CF" w:rsidRDefault="00205B9B" w:rsidP="00854C4A">
            <w:pPr>
              <w:jc w:val="right"/>
              <w:rPr>
                <w:rFonts w:cstheme="minorHAnsi"/>
              </w:rPr>
            </w:pPr>
            <w:r>
              <w:rPr>
                <w:rFonts w:cstheme="minorHAnsi"/>
              </w:rPr>
              <w:t>0</w:t>
            </w:r>
          </w:p>
        </w:tc>
        <w:tc>
          <w:tcPr>
            <w:tcW w:w="817" w:type="dxa"/>
          </w:tcPr>
          <w:p w:rsidR="00205B9B" w:rsidRDefault="00205B9B" w:rsidP="00854C4A">
            <w:pPr>
              <w:jc w:val="right"/>
              <w:rPr>
                <w:rFonts w:cstheme="minorHAnsi"/>
              </w:rPr>
            </w:pPr>
            <w:r>
              <w:rPr>
                <w:rFonts w:cstheme="minorHAnsi"/>
              </w:rPr>
              <w:t>-</w:t>
            </w:r>
          </w:p>
        </w:tc>
        <w:tc>
          <w:tcPr>
            <w:tcW w:w="684" w:type="dxa"/>
          </w:tcPr>
          <w:p w:rsidR="00205B9B" w:rsidRDefault="00205B9B" w:rsidP="00854C4A">
            <w:pPr>
              <w:jc w:val="right"/>
              <w:rPr>
                <w:rFonts w:cstheme="minorHAnsi"/>
              </w:rPr>
            </w:pPr>
            <w:r>
              <w:rPr>
                <w:rFonts w:cstheme="minorHAnsi"/>
              </w:rPr>
              <w:t>-</w:t>
            </w:r>
          </w:p>
        </w:tc>
      </w:tr>
      <w:tr w:rsidR="00205B9B" w:rsidRPr="00EB60CF" w:rsidTr="00205B9B">
        <w:trPr>
          <w:trHeight w:val="905"/>
        </w:trPr>
        <w:tc>
          <w:tcPr>
            <w:tcW w:w="3734" w:type="dxa"/>
          </w:tcPr>
          <w:p w:rsidR="00205B9B" w:rsidRPr="00EB60CF" w:rsidRDefault="00205B9B" w:rsidP="00854C4A">
            <w:pPr>
              <w:rPr>
                <w:rFonts w:cstheme="minorHAnsi"/>
              </w:rPr>
            </w:pPr>
            <w:r w:rsidRPr="00EB60CF">
              <w:rPr>
                <w:rFonts w:cstheme="minorHAnsi"/>
                <w:bCs/>
                <w:u w:val="single"/>
              </w:rPr>
              <w:t>28.40.01</w:t>
            </w:r>
            <w:r w:rsidRPr="00EB60CF">
              <w:rPr>
                <w:rFonts w:cstheme="minorHAnsi"/>
                <w:bCs/>
              </w:rPr>
              <w:t xml:space="preserve"> Aluehallintovirastojen toimintamenot</w:t>
            </w:r>
            <w:r>
              <w:rPr>
                <w:rFonts w:cstheme="minorHAnsi"/>
                <w:bCs/>
              </w:rPr>
              <w:t xml:space="preserve"> </w:t>
            </w:r>
            <w:r w:rsidRPr="00CC3910">
              <w:rPr>
                <w:rFonts w:cstheme="minorHAnsi"/>
                <w:bCs/>
                <w:sz w:val="20"/>
              </w:rPr>
              <w:t>(samanaikaisesti nostetaan ympäristölupien kustannusvastaavuutta 60-70% tasolle)</w:t>
            </w:r>
          </w:p>
        </w:tc>
        <w:tc>
          <w:tcPr>
            <w:tcW w:w="767" w:type="dxa"/>
          </w:tcPr>
          <w:p w:rsidR="00205B9B" w:rsidRPr="00EB60CF" w:rsidRDefault="00205B9B" w:rsidP="00854C4A">
            <w:pPr>
              <w:jc w:val="right"/>
              <w:rPr>
                <w:rFonts w:cstheme="minorHAnsi"/>
              </w:rPr>
            </w:pPr>
            <w:r>
              <w:rPr>
                <w:rFonts w:cstheme="minorHAnsi"/>
              </w:rPr>
              <w:t>1,05</w:t>
            </w:r>
          </w:p>
        </w:tc>
        <w:tc>
          <w:tcPr>
            <w:tcW w:w="890" w:type="dxa"/>
          </w:tcPr>
          <w:p w:rsidR="00205B9B" w:rsidRPr="00EB60CF" w:rsidRDefault="00205B9B" w:rsidP="00854C4A">
            <w:pPr>
              <w:jc w:val="right"/>
              <w:rPr>
                <w:rFonts w:cstheme="minorHAnsi"/>
              </w:rPr>
            </w:pPr>
            <w:r>
              <w:rPr>
                <w:rFonts w:cstheme="minorHAnsi"/>
              </w:rPr>
              <w:t>2,5</w:t>
            </w:r>
          </w:p>
        </w:tc>
        <w:tc>
          <w:tcPr>
            <w:tcW w:w="915" w:type="dxa"/>
          </w:tcPr>
          <w:p w:rsidR="00205B9B" w:rsidRPr="00EB60CF" w:rsidRDefault="00205B9B" w:rsidP="00854C4A">
            <w:pPr>
              <w:jc w:val="right"/>
              <w:rPr>
                <w:rFonts w:cstheme="minorHAnsi"/>
              </w:rPr>
            </w:pPr>
            <w:r>
              <w:rPr>
                <w:rFonts w:cstheme="minorHAnsi"/>
              </w:rPr>
              <w:t>2,5</w:t>
            </w:r>
          </w:p>
        </w:tc>
        <w:tc>
          <w:tcPr>
            <w:tcW w:w="915" w:type="dxa"/>
          </w:tcPr>
          <w:p w:rsidR="00205B9B" w:rsidRPr="00EB60CF" w:rsidRDefault="00205B9B" w:rsidP="00854C4A">
            <w:pPr>
              <w:jc w:val="right"/>
              <w:rPr>
                <w:rFonts w:cstheme="minorHAnsi"/>
              </w:rPr>
            </w:pPr>
            <w:r>
              <w:rPr>
                <w:rFonts w:cstheme="minorHAnsi"/>
              </w:rPr>
              <w:t>1,5</w:t>
            </w:r>
          </w:p>
        </w:tc>
        <w:tc>
          <w:tcPr>
            <w:tcW w:w="911" w:type="dxa"/>
          </w:tcPr>
          <w:p w:rsidR="00205B9B" w:rsidRPr="00EB60CF" w:rsidRDefault="00205B9B" w:rsidP="00854C4A">
            <w:pPr>
              <w:jc w:val="right"/>
              <w:rPr>
                <w:rFonts w:cstheme="minorHAnsi"/>
              </w:rPr>
            </w:pPr>
            <w:r>
              <w:rPr>
                <w:rFonts w:cstheme="minorHAnsi"/>
              </w:rPr>
              <w:t>1</w:t>
            </w:r>
          </w:p>
        </w:tc>
        <w:tc>
          <w:tcPr>
            <w:tcW w:w="817" w:type="dxa"/>
          </w:tcPr>
          <w:p w:rsidR="00205B9B" w:rsidRDefault="00205B9B" w:rsidP="00854C4A">
            <w:pPr>
              <w:jc w:val="right"/>
              <w:rPr>
                <w:rFonts w:cstheme="minorHAnsi"/>
              </w:rPr>
            </w:pPr>
            <w:r>
              <w:rPr>
                <w:rFonts w:cstheme="minorHAnsi"/>
              </w:rPr>
              <w:t>-</w:t>
            </w:r>
          </w:p>
        </w:tc>
        <w:tc>
          <w:tcPr>
            <w:tcW w:w="684" w:type="dxa"/>
          </w:tcPr>
          <w:p w:rsidR="00205B9B" w:rsidRDefault="00205B9B" w:rsidP="00854C4A">
            <w:pPr>
              <w:jc w:val="right"/>
              <w:rPr>
                <w:rFonts w:cstheme="minorHAnsi"/>
              </w:rPr>
            </w:pPr>
            <w:r>
              <w:rPr>
                <w:rFonts w:cstheme="minorHAnsi"/>
              </w:rPr>
              <w:t>-</w:t>
            </w:r>
          </w:p>
        </w:tc>
      </w:tr>
      <w:tr w:rsidR="00205B9B" w:rsidRPr="00EB60CF" w:rsidTr="00205B9B">
        <w:tc>
          <w:tcPr>
            <w:tcW w:w="3734" w:type="dxa"/>
          </w:tcPr>
          <w:p w:rsidR="00205B9B" w:rsidRPr="00EB60CF" w:rsidRDefault="00205B9B" w:rsidP="00854C4A">
            <w:pPr>
              <w:rPr>
                <w:rFonts w:cstheme="minorHAnsi"/>
              </w:rPr>
            </w:pPr>
            <w:r w:rsidRPr="00EB60CF">
              <w:rPr>
                <w:rFonts w:cstheme="minorHAnsi"/>
                <w:u w:val="single"/>
              </w:rPr>
              <w:t>35.20.37</w:t>
            </w:r>
            <w:r w:rsidRPr="00EB60CF">
              <w:rPr>
                <w:rFonts w:cstheme="minorHAnsi"/>
              </w:rPr>
              <w:t xml:space="preserve"> Vihreän siirtymän investointien vauhdittaminen kunnissa ja maakunnissa</w:t>
            </w:r>
          </w:p>
        </w:tc>
        <w:tc>
          <w:tcPr>
            <w:tcW w:w="767" w:type="dxa"/>
          </w:tcPr>
          <w:p w:rsidR="00205B9B" w:rsidRPr="00EB60CF" w:rsidRDefault="00205B9B" w:rsidP="00854C4A">
            <w:pPr>
              <w:jc w:val="right"/>
              <w:rPr>
                <w:rFonts w:cstheme="minorHAnsi"/>
              </w:rPr>
            </w:pPr>
            <w:r w:rsidRPr="00EB60CF">
              <w:rPr>
                <w:rFonts w:cstheme="minorHAnsi"/>
              </w:rPr>
              <w:t>0,75</w:t>
            </w:r>
          </w:p>
        </w:tc>
        <w:tc>
          <w:tcPr>
            <w:tcW w:w="890" w:type="dxa"/>
          </w:tcPr>
          <w:p w:rsidR="00205B9B" w:rsidRPr="00EB60CF" w:rsidRDefault="00205B9B" w:rsidP="00854C4A">
            <w:pPr>
              <w:jc w:val="right"/>
              <w:rPr>
                <w:rFonts w:cstheme="minorHAnsi"/>
              </w:rPr>
            </w:pPr>
            <w:r>
              <w:rPr>
                <w:rFonts w:cstheme="minorHAnsi"/>
              </w:rPr>
              <w:t>2</w:t>
            </w:r>
          </w:p>
        </w:tc>
        <w:tc>
          <w:tcPr>
            <w:tcW w:w="915" w:type="dxa"/>
          </w:tcPr>
          <w:p w:rsidR="00205B9B" w:rsidRPr="00EB60CF" w:rsidRDefault="00205B9B" w:rsidP="00854C4A">
            <w:pPr>
              <w:jc w:val="right"/>
              <w:rPr>
                <w:rFonts w:cstheme="minorHAnsi"/>
              </w:rPr>
            </w:pPr>
            <w:r>
              <w:rPr>
                <w:rFonts w:cstheme="minorHAnsi"/>
              </w:rPr>
              <w:t>0</w:t>
            </w:r>
          </w:p>
        </w:tc>
        <w:tc>
          <w:tcPr>
            <w:tcW w:w="915" w:type="dxa"/>
          </w:tcPr>
          <w:p w:rsidR="00205B9B" w:rsidRPr="00EB60CF" w:rsidRDefault="00205B9B" w:rsidP="00854C4A">
            <w:pPr>
              <w:jc w:val="right"/>
              <w:rPr>
                <w:rFonts w:cstheme="minorHAnsi"/>
              </w:rPr>
            </w:pPr>
            <w:r>
              <w:rPr>
                <w:rFonts w:cstheme="minorHAnsi"/>
              </w:rPr>
              <w:t>0</w:t>
            </w:r>
          </w:p>
        </w:tc>
        <w:tc>
          <w:tcPr>
            <w:tcW w:w="911" w:type="dxa"/>
          </w:tcPr>
          <w:p w:rsidR="00205B9B" w:rsidRPr="00EB60CF" w:rsidRDefault="00205B9B" w:rsidP="00854C4A">
            <w:pPr>
              <w:jc w:val="right"/>
              <w:rPr>
                <w:rFonts w:cstheme="minorHAnsi"/>
              </w:rPr>
            </w:pPr>
            <w:r>
              <w:rPr>
                <w:rFonts w:cstheme="minorHAnsi"/>
              </w:rPr>
              <w:t>0</w:t>
            </w:r>
          </w:p>
        </w:tc>
        <w:tc>
          <w:tcPr>
            <w:tcW w:w="817" w:type="dxa"/>
          </w:tcPr>
          <w:p w:rsidR="00205B9B" w:rsidRDefault="00205B9B" w:rsidP="00854C4A">
            <w:pPr>
              <w:jc w:val="right"/>
              <w:rPr>
                <w:rFonts w:cstheme="minorHAnsi"/>
              </w:rPr>
            </w:pPr>
            <w:r>
              <w:rPr>
                <w:rFonts w:cstheme="minorHAnsi"/>
              </w:rPr>
              <w:t>-</w:t>
            </w:r>
          </w:p>
        </w:tc>
        <w:tc>
          <w:tcPr>
            <w:tcW w:w="684" w:type="dxa"/>
          </w:tcPr>
          <w:p w:rsidR="00205B9B" w:rsidRDefault="00205B9B" w:rsidP="00854C4A">
            <w:pPr>
              <w:jc w:val="right"/>
              <w:rPr>
                <w:rFonts w:cstheme="minorHAnsi"/>
              </w:rPr>
            </w:pPr>
            <w:r>
              <w:rPr>
                <w:rFonts w:cstheme="minorHAnsi"/>
              </w:rPr>
              <w:t>-</w:t>
            </w:r>
          </w:p>
        </w:tc>
      </w:tr>
      <w:tr w:rsidR="00205B9B" w:rsidRPr="00EB60CF" w:rsidTr="00205B9B">
        <w:tc>
          <w:tcPr>
            <w:tcW w:w="3734" w:type="dxa"/>
          </w:tcPr>
          <w:p w:rsidR="00205B9B" w:rsidRPr="00301FB7" w:rsidRDefault="00205B9B" w:rsidP="00854C4A">
            <w:pPr>
              <w:rPr>
                <w:rFonts w:cstheme="minorHAnsi"/>
              </w:rPr>
            </w:pPr>
            <w:r w:rsidRPr="00301FB7">
              <w:rPr>
                <w:rFonts w:cstheme="minorHAnsi"/>
                <w:u w:val="single"/>
              </w:rPr>
              <w:lastRenderedPageBreak/>
              <w:t>32.01.08</w:t>
            </w:r>
            <w:r w:rsidRPr="00301FB7">
              <w:rPr>
                <w:rFonts w:cstheme="minorHAnsi"/>
              </w:rPr>
              <w:t xml:space="preserve"> Turvallisuus ja kemikaaliviraston toimintamenot</w:t>
            </w:r>
          </w:p>
        </w:tc>
        <w:tc>
          <w:tcPr>
            <w:tcW w:w="767" w:type="dxa"/>
          </w:tcPr>
          <w:p w:rsidR="00205B9B" w:rsidRPr="00EB60CF" w:rsidRDefault="00205B9B" w:rsidP="00854C4A">
            <w:pPr>
              <w:jc w:val="right"/>
              <w:rPr>
                <w:rFonts w:cstheme="minorHAnsi"/>
              </w:rPr>
            </w:pPr>
            <w:r w:rsidRPr="00EB60CF">
              <w:rPr>
                <w:rFonts w:cstheme="minorHAnsi"/>
              </w:rPr>
              <w:t>0,25</w:t>
            </w:r>
          </w:p>
        </w:tc>
        <w:tc>
          <w:tcPr>
            <w:tcW w:w="890" w:type="dxa"/>
          </w:tcPr>
          <w:p w:rsidR="00205B9B" w:rsidRPr="00EB60CF" w:rsidRDefault="00205B9B" w:rsidP="00854C4A">
            <w:pPr>
              <w:jc w:val="right"/>
              <w:rPr>
                <w:rFonts w:cstheme="minorHAnsi"/>
              </w:rPr>
            </w:pPr>
            <w:r w:rsidRPr="00EB60CF">
              <w:rPr>
                <w:rFonts w:cstheme="minorHAnsi"/>
              </w:rPr>
              <w:t>0,5</w:t>
            </w:r>
          </w:p>
        </w:tc>
        <w:tc>
          <w:tcPr>
            <w:tcW w:w="915" w:type="dxa"/>
          </w:tcPr>
          <w:p w:rsidR="00205B9B" w:rsidRPr="00EB60CF" w:rsidRDefault="00205B9B" w:rsidP="00854C4A">
            <w:pPr>
              <w:jc w:val="right"/>
              <w:rPr>
                <w:rFonts w:cstheme="minorHAnsi"/>
              </w:rPr>
            </w:pPr>
            <w:r w:rsidRPr="00EB60CF">
              <w:rPr>
                <w:rFonts w:cstheme="minorHAnsi"/>
              </w:rPr>
              <w:t>0,5</w:t>
            </w:r>
          </w:p>
        </w:tc>
        <w:tc>
          <w:tcPr>
            <w:tcW w:w="915" w:type="dxa"/>
          </w:tcPr>
          <w:p w:rsidR="00205B9B" w:rsidRPr="00EB60CF" w:rsidRDefault="00205B9B" w:rsidP="00854C4A">
            <w:pPr>
              <w:jc w:val="right"/>
              <w:rPr>
                <w:rFonts w:cstheme="minorHAnsi"/>
              </w:rPr>
            </w:pPr>
            <w:r w:rsidRPr="00EB60CF">
              <w:rPr>
                <w:rFonts w:cstheme="minorHAnsi"/>
              </w:rPr>
              <w:t>0,5</w:t>
            </w:r>
          </w:p>
        </w:tc>
        <w:tc>
          <w:tcPr>
            <w:tcW w:w="911" w:type="dxa"/>
          </w:tcPr>
          <w:p w:rsidR="00205B9B" w:rsidRPr="00EB60CF" w:rsidRDefault="00205B9B" w:rsidP="00854C4A">
            <w:pPr>
              <w:jc w:val="right"/>
              <w:rPr>
                <w:rFonts w:cstheme="minorHAnsi"/>
              </w:rPr>
            </w:pPr>
            <w:r>
              <w:rPr>
                <w:rFonts w:cstheme="minorHAnsi"/>
              </w:rPr>
              <w:t>0</w:t>
            </w:r>
          </w:p>
        </w:tc>
        <w:tc>
          <w:tcPr>
            <w:tcW w:w="817" w:type="dxa"/>
          </w:tcPr>
          <w:p w:rsidR="00205B9B" w:rsidRDefault="00205B9B" w:rsidP="00854C4A">
            <w:pPr>
              <w:jc w:val="right"/>
              <w:rPr>
                <w:rFonts w:cstheme="minorHAnsi"/>
              </w:rPr>
            </w:pPr>
            <w:r>
              <w:rPr>
                <w:rFonts w:cstheme="minorHAnsi"/>
              </w:rPr>
              <w:t>-</w:t>
            </w:r>
          </w:p>
        </w:tc>
        <w:tc>
          <w:tcPr>
            <w:tcW w:w="684" w:type="dxa"/>
          </w:tcPr>
          <w:p w:rsidR="00205B9B" w:rsidRDefault="00205B9B" w:rsidP="00854C4A">
            <w:pPr>
              <w:jc w:val="right"/>
              <w:rPr>
                <w:rFonts w:cstheme="minorHAnsi"/>
              </w:rPr>
            </w:pPr>
            <w:r>
              <w:rPr>
                <w:rFonts w:cstheme="minorHAnsi"/>
              </w:rPr>
              <w:t>-</w:t>
            </w:r>
          </w:p>
        </w:tc>
      </w:tr>
      <w:tr w:rsidR="00205B9B" w:rsidRPr="00EB60CF" w:rsidTr="00205B9B">
        <w:tc>
          <w:tcPr>
            <w:tcW w:w="3734" w:type="dxa"/>
          </w:tcPr>
          <w:p w:rsidR="00205B9B" w:rsidRPr="00EB60CF" w:rsidRDefault="00205B9B" w:rsidP="00854C4A">
            <w:pPr>
              <w:rPr>
                <w:rFonts w:cstheme="minorHAnsi"/>
              </w:rPr>
            </w:pPr>
            <w:r w:rsidRPr="00301FB7">
              <w:rPr>
                <w:rFonts w:cstheme="minorHAnsi"/>
                <w:u w:val="single"/>
              </w:rPr>
              <w:t>25.10.03</w:t>
            </w:r>
            <w:r w:rsidRPr="00EB60CF">
              <w:rPr>
                <w:rFonts w:cstheme="minorHAnsi"/>
              </w:rPr>
              <w:t xml:space="preserve"> Muiden tuomioistuinten toimintamenot</w:t>
            </w:r>
          </w:p>
        </w:tc>
        <w:tc>
          <w:tcPr>
            <w:tcW w:w="767" w:type="dxa"/>
          </w:tcPr>
          <w:p w:rsidR="00205B9B" w:rsidRPr="00EB60CF" w:rsidRDefault="00205B9B" w:rsidP="00854C4A">
            <w:pPr>
              <w:jc w:val="right"/>
              <w:rPr>
                <w:rFonts w:cstheme="minorHAnsi"/>
              </w:rPr>
            </w:pPr>
            <w:r w:rsidRPr="00EB60CF">
              <w:rPr>
                <w:rFonts w:cstheme="minorHAnsi"/>
              </w:rPr>
              <w:t>1,5</w:t>
            </w:r>
          </w:p>
        </w:tc>
        <w:tc>
          <w:tcPr>
            <w:tcW w:w="890" w:type="dxa"/>
          </w:tcPr>
          <w:p w:rsidR="00205B9B" w:rsidRPr="00EB60CF" w:rsidRDefault="00205B9B" w:rsidP="00854C4A">
            <w:pPr>
              <w:jc w:val="right"/>
              <w:rPr>
                <w:rFonts w:cstheme="minorHAnsi"/>
              </w:rPr>
            </w:pPr>
            <w:r w:rsidRPr="00EB60CF">
              <w:rPr>
                <w:rFonts w:cstheme="minorHAnsi"/>
              </w:rPr>
              <w:t>3,0</w:t>
            </w:r>
          </w:p>
        </w:tc>
        <w:tc>
          <w:tcPr>
            <w:tcW w:w="915" w:type="dxa"/>
          </w:tcPr>
          <w:p w:rsidR="00205B9B" w:rsidRPr="00EB60CF" w:rsidRDefault="00205B9B" w:rsidP="00854C4A">
            <w:pPr>
              <w:jc w:val="right"/>
              <w:rPr>
                <w:rFonts w:cstheme="minorHAnsi"/>
              </w:rPr>
            </w:pPr>
            <w:r w:rsidRPr="00EB60CF">
              <w:rPr>
                <w:rFonts w:cstheme="minorHAnsi"/>
              </w:rPr>
              <w:t>3,0</w:t>
            </w:r>
          </w:p>
        </w:tc>
        <w:tc>
          <w:tcPr>
            <w:tcW w:w="915" w:type="dxa"/>
          </w:tcPr>
          <w:p w:rsidR="00205B9B" w:rsidRPr="00EB60CF" w:rsidRDefault="00205B9B" w:rsidP="00854C4A">
            <w:pPr>
              <w:jc w:val="right"/>
              <w:rPr>
                <w:rFonts w:cstheme="minorHAnsi"/>
              </w:rPr>
            </w:pPr>
            <w:r w:rsidRPr="00EB60CF">
              <w:rPr>
                <w:rFonts w:cstheme="minorHAnsi"/>
              </w:rPr>
              <w:t>3,0</w:t>
            </w:r>
          </w:p>
        </w:tc>
        <w:tc>
          <w:tcPr>
            <w:tcW w:w="911" w:type="dxa"/>
          </w:tcPr>
          <w:p w:rsidR="00205B9B" w:rsidRPr="00EB60CF" w:rsidRDefault="00205B9B" w:rsidP="00854C4A">
            <w:pPr>
              <w:jc w:val="right"/>
              <w:rPr>
                <w:rFonts w:cstheme="minorHAnsi"/>
              </w:rPr>
            </w:pPr>
            <w:r w:rsidRPr="00EB60CF">
              <w:rPr>
                <w:rFonts w:cstheme="minorHAnsi"/>
              </w:rPr>
              <w:t>3,0</w:t>
            </w:r>
          </w:p>
        </w:tc>
        <w:tc>
          <w:tcPr>
            <w:tcW w:w="817" w:type="dxa"/>
          </w:tcPr>
          <w:p w:rsidR="00205B9B" w:rsidRPr="00EB60CF" w:rsidRDefault="00205B9B" w:rsidP="00854C4A">
            <w:pPr>
              <w:tabs>
                <w:tab w:val="left" w:pos="229"/>
                <w:tab w:val="right" w:pos="601"/>
              </w:tabs>
              <w:rPr>
                <w:rFonts w:cstheme="minorHAnsi"/>
              </w:rPr>
            </w:pPr>
            <w:r>
              <w:rPr>
                <w:rFonts w:cstheme="minorHAnsi"/>
              </w:rPr>
              <w:tab/>
            </w:r>
            <w:r>
              <w:rPr>
                <w:rFonts w:cstheme="minorHAnsi"/>
              </w:rPr>
              <w:tab/>
              <w:t>3,0</w:t>
            </w:r>
          </w:p>
        </w:tc>
        <w:tc>
          <w:tcPr>
            <w:tcW w:w="684" w:type="dxa"/>
          </w:tcPr>
          <w:p w:rsidR="00205B9B" w:rsidRPr="00EB60CF" w:rsidRDefault="00205B9B" w:rsidP="00854C4A">
            <w:pPr>
              <w:jc w:val="right"/>
              <w:rPr>
                <w:rFonts w:cstheme="minorHAnsi"/>
              </w:rPr>
            </w:pPr>
            <w:r>
              <w:rPr>
                <w:rFonts w:cstheme="minorHAnsi"/>
              </w:rPr>
              <w:t>3,0</w:t>
            </w:r>
          </w:p>
        </w:tc>
      </w:tr>
    </w:tbl>
    <w:p w:rsidR="00205B9B" w:rsidRDefault="00205B9B" w:rsidP="00B63E81">
      <w:pPr>
        <w:spacing w:after="0" w:line="240" w:lineRule="auto"/>
        <w:rPr>
          <w:rFonts w:eastAsia="Times New Roman" w:cstheme="minorHAnsi"/>
          <w:lang w:eastAsia="fi-FI"/>
        </w:rPr>
      </w:pPr>
    </w:p>
    <w:p w:rsidR="00205B9B" w:rsidRDefault="00205B9B" w:rsidP="00B63E81">
      <w:pPr>
        <w:spacing w:after="0" w:line="240" w:lineRule="auto"/>
        <w:rPr>
          <w:rFonts w:eastAsia="Times New Roman" w:cstheme="minorHAnsi"/>
          <w:lang w:eastAsia="fi-FI"/>
        </w:rPr>
      </w:pPr>
    </w:p>
    <w:p w:rsidR="00205B9B" w:rsidRPr="00205B9B" w:rsidRDefault="00205B9B" w:rsidP="005211BC">
      <w:pPr>
        <w:rPr>
          <w:rFonts w:cstheme="minorHAnsi"/>
          <w:b/>
        </w:rPr>
      </w:pPr>
      <w:r w:rsidRPr="00205B9B">
        <w:rPr>
          <w:rFonts w:cstheme="minorHAnsi"/>
          <w:b/>
        </w:rPr>
        <w:t>Tavoite:</w:t>
      </w:r>
    </w:p>
    <w:p w:rsidR="00205B9B" w:rsidRDefault="005B60EF" w:rsidP="005211BC">
      <w:pPr>
        <w:rPr>
          <w:rFonts w:cstheme="minorHAnsi"/>
        </w:rPr>
      </w:pPr>
      <w:r>
        <w:rPr>
          <w:rFonts w:cstheme="minorHAnsi"/>
        </w:rPr>
        <w:t>Esityksen tavoitte</w:t>
      </w:r>
      <w:r w:rsidR="00205B9B">
        <w:rPr>
          <w:rFonts w:cstheme="minorHAnsi"/>
        </w:rPr>
        <w:t>ena on turvata lupaviranomaisten voimavarat</w:t>
      </w:r>
      <w:r>
        <w:rPr>
          <w:rFonts w:cstheme="minorHAnsi"/>
        </w:rPr>
        <w:t xml:space="preserve"> sekä lupamenettelyjen sujuvuus</w:t>
      </w:r>
      <w:r w:rsidR="00205B9B">
        <w:rPr>
          <w:rFonts w:cstheme="minorHAnsi"/>
        </w:rPr>
        <w:t>. Mää</w:t>
      </w:r>
      <w:r>
        <w:rPr>
          <w:rFonts w:cstheme="minorHAnsi"/>
        </w:rPr>
        <w:t>rä</w:t>
      </w:r>
      <w:r w:rsidR="00205B9B">
        <w:rPr>
          <w:rFonts w:cstheme="minorHAnsi"/>
        </w:rPr>
        <w:t xml:space="preserve">aikaisia lisävoimavaroja </w:t>
      </w:r>
      <w:r w:rsidR="00B57588">
        <w:rPr>
          <w:rFonts w:cstheme="minorHAnsi"/>
        </w:rPr>
        <w:t>kohdentamalla</w:t>
      </w:r>
      <w:r w:rsidR="00205B9B">
        <w:rPr>
          <w:rFonts w:cstheme="minorHAnsi"/>
        </w:rPr>
        <w:t xml:space="preserve"> ei pystytä korvaamaan pysyvän henkilöstön vähentymistä </w:t>
      </w:r>
      <w:r w:rsidR="00B57588">
        <w:rPr>
          <w:rFonts w:cstheme="minorHAnsi"/>
        </w:rPr>
        <w:t>lupatehtävistä</w:t>
      </w:r>
      <w:r w:rsidR="00205B9B">
        <w:rPr>
          <w:rFonts w:cstheme="minorHAnsi"/>
        </w:rPr>
        <w:t>.</w:t>
      </w:r>
      <w:r w:rsidR="00B57588">
        <w:rPr>
          <w:rFonts w:cstheme="minorHAnsi"/>
        </w:rPr>
        <w:t xml:space="preserve"> </w:t>
      </w:r>
      <w:r>
        <w:rPr>
          <w:rFonts w:cstheme="minorHAnsi"/>
        </w:rPr>
        <w:t>Osaavan henkilöstön rekrytointi on vaikeutunut.</w:t>
      </w:r>
    </w:p>
    <w:p w:rsidR="00B57588" w:rsidRDefault="00B57588" w:rsidP="00B57588">
      <w:pPr>
        <w:pStyle w:val="Luettelokappale"/>
        <w:suppressAutoHyphens/>
        <w:spacing w:line="240" w:lineRule="auto"/>
        <w:ind w:left="0"/>
        <w:rPr>
          <w:rFonts w:cstheme="minorHAnsi"/>
          <w:color w:val="000000" w:themeColor="text1"/>
        </w:rPr>
      </w:pPr>
      <w:r>
        <w:rPr>
          <w:rFonts w:cstheme="minorHAnsi"/>
          <w:color w:val="000000" w:themeColor="text1"/>
        </w:rPr>
        <w:t>On syytä korostaa, että ympäristöasiat ja –</w:t>
      </w:r>
      <w:proofErr w:type="spellStart"/>
      <w:r>
        <w:rPr>
          <w:rFonts w:cstheme="minorHAnsi"/>
          <w:color w:val="000000" w:themeColor="text1"/>
        </w:rPr>
        <w:t>luvitus</w:t>
      </w:r>
      <w:proofErr w:type="spellEnd"/>
      <w:r>
        <w:rPr>
          <w:rFonts w:cstheme="minorHAnsi"/>
          <w:color w:val="000000" w:themeColor="text1"/>
        </w:rPr>
        <w:t xml:space="preserve"> ovat laaja kokonaisuus ja vaativat monenlaista erityisasiantuntemusta muun muassa vesitalousasioista (rakentaminen, säännöstelyt, vedenotto, pohjavesiasiat, ojitus, järjestely ym.) teollisuudesta, energiantuotannosta, jätehuollosta, eläinsuoja-asioista, kaivosasioista, turvetuotantoasioista, satamista, lentokentistä, korvausasioista, hallintopakoista sekä luonnonsuojeluasioista. Koska edellä mainittujen asioiden käsittely vaatii syvällistä ammattitaitoa, niiden käsittelyyn pitää olla käytettävissä parhaat asiantuntijat toiminnan sijaintipaikasta riippumatta. Ympäristöä ja päästöjä koskevien EU-direktiivien ohjaava vaikutus lupa- ja valvontamenettelyissä ja niiden tulkintaa koskeva EU-tuomioistuimen tulkintaa sitova oikeuskäytäntö korostavat asiantuntemuksen kokoamisen tarvetta, jotta varmistetaan ympäristölainsäädännön oikea ja mahdollisimman yhdenmukainen toimeenpano eri puolilla maata investointien turvaamiseksi. Siten keskisuuret ja sitäkin suuremmat laitokset, joiden ympäristövaikutukset ulottuvat laajemmalle alueella ja joiden lupa- ja valvonta-asioiden käsittely edellyttää enemmän teknistä, juridista ja taloudellista sekä monipuolisempaa luonnontieteellistä osaamista, on tarkoituksenmukaista sijoittaa viranomaiseen, jossa voidaan osoittaa kulloistakin hanketta varten maan parhaat osaajat aluerajoista riippumatta.</w:t>
      </w:r>
    </w:p>
    <w:p w:rsidR="00B57588" w:rsidRPr="00F623E6" w:rsidRDefault="00B57588" w:rsidP="00B57588">
      <w:pPr>
        <w:spacing w:after="0" w:line="240" w:lineRule="auto"/>
        <w:rPr>
          <w:rFonts w:cs="Myriad Pro"/>
          <w:b/>
          <w:color w:val="000000"/>
        </w:rPr>
      </w:pPr>
    </w:p>
    <w:p w:rsidR="00F623E6" w:rsidRDefault="00F623E6" w:rsidP="00B63E81">
      <w:pPr>
        <w:spacing w:after="0" w:line="240" w:lineRule="auto"/>
        <w:rPr>
          <w:rFonts w:eastAsia="Times New Roman" w:cstheme="minorHAnsi"/>
          <w:b/>
          <w:lang w:eastAsia="fi-FI"/>
        </w:rPr>
      </w:pPr>
    </w:p>
    <w:p w:rsidR="002B41FA" w:rsidRPr="005211BC" w:rsidRDefault="002B41FA" w:rsidP="00B63E81">
      <w:pPr>
        <w:spacing w:after="0" w:line="240" w:lineRule="auto"/>
        <w:rPr>
          <w:rFonts w:eastAsia="Times New Roman" w:cstheme="minorHAnsi"/>
          <w:b/>
          <w:lang w:eastAsia="fi-FI"/>
        </w:rPr>
      </w:pPr>
      <w:r w:rsidRPr="005211BC">
        <w:rPr>
          <w:rFonts w:eastAsia="Times New Roman" w:cstheme="minorHAnsi"/>
          <w:b/>
          <w:lang w:eastAsia="fi-FI"/>
        </w:rPr>
        <w:t>Esitys:</w:t>
      </w:r>
    </w:p>
    <w:p w:rsidR="00B57588" w:rsidRDefault="00B57588" w:rsidP="00B57588">
      <w:pPr>
        <w:spacing w:after="0" w:line="240" w:lineRule="auto"/>
        <w:rPr>
          <w:rFonts w:eastAsia="Times New Roman" w:cstheme="minorHAnsi"/>
          <w:lang w:eastAsia="fi-FI"/>
        </w:rPr>
      </w:pPr>
    </w:p>
    <w:p w:rsidR="00B57588" w:rsidRDefault="00B57588" w:rsidP="00B57588">
      <w:pPr>
        <w:spacing w:after="0" w:line="240" w:lineRule="auto"/>
        <w:rPr>
          <w:rFonts w:eastAsia="Times New Roman" w:cstheme="minorHAnsi"/>
          <w:lang w:eastAsia="fi-FI"/>
        </w:rPr>
      </w:pPr>
      <w:r>
        <w:rPr>
          <w:rFonts w:eastAsia="Times New Roman" w:cstheme="minorHAnsi"/>
          <w:lang w:eastAsia="fi-FI"/>
        </w:rPr>
        <w:t xml:space="preserve">Vihreän siirtymän investointien vauhdittamiseen liittyvät voimavarat varmistetaan kohdentamalla riittävät toimintamenomäärärahat pysyvän henkilöstön palkkaamiseen keskeisissä lupaviranomaisissa sekä hallinto-oikeuksissa. </w:t>
      </w:r>
      <w:r>
        <w:rPr>
          <w:rFonts w:eastAsia="Times New Roman" w:cstheme="minorHAnsi"/>
          <w:lang w:eastAsia="fi-FI"/>
        </w:rPr>
        <w:br/>
      </w:r>
    </w:p>
    <w:p w:rsidR="00533162" w:rsidRDefault="00B57588" w:rsidP="00B57588">
      <w:pPr>
        <w:spacing w:after="0" w:line="240" w:lineRule="auto"/>
        <w:rPr>
          <w:rFonts w:eastAsia="Times New Roman" w:cstheme="minorHAnsi"/>
          <w:lang w:eastAsia="fi-FI"/>
        </w:rPr>
      </w:pPr>
      <w:r>
        <w:rPr>
          <w:rFonts w:eastAsia="Times New Roman" w:cstheme="minorHAnsi"/>
          <w:lang w:eastAsia="fi-FI"/>
        </w:rPr>
        <w:t xml:space="preserve">Vuoden 2024 alusta alkaen kohdennetaan ympäristöllisiin lupatehtäviin yhteensä 6,6 milj. euron lisämäärärahavuosittain pysyvänä toimintamenolisäyksenä määräaikaisen voimavaralisäyksen sijaan. Määrärahalla turvataan </w:t>
      </w:r>
      <w:proofErr w:type="spellStart"/>
      <w:r>
        <w:rPr>
          <w:rFonts w:eastAsia="Times New Roman" w:cstheme="minorHAnsi"/>
          <w:lang w:eastAsia="fi-FI"/>
        </w:rPr>
        <w:t>ympäristöluvitukseen</w:t>
      </w:r>
      <w:proofErr w:type="spellEnd"/>
      <w:r>
        <w:rPr>
          <w:rFonts w:eastAsia="Times New Roman" w:cstheme="minorHAnsi"/>
          <w:lang w:eastAsia="fi-FI"/>
        </w:rPr>
        <w:t xml:space="preserve"> liittyvät voimavarat ja osaaminen. </w:t>
      </w:r>
    </w:p>
    <w:p w:rsidR="00B57588" w:rsidRDefault="00B57588" w:rsidP="00B57588">
      <w:pPr>
        <w:spacing w:after="0" w:line="240" w:lineRule="auto"/>
        <w:rPr>
          <w:rFonts w:eastAsia="Times New Roman" w:cstheme="minorHAnsi"/>
          <w:lang w:eastAsia="fi-FI"/>
        </w:rPr>
      </w:pPr>
    </w:p>
    <w:p w:rsidR="00B57588" w:rsidRDefault="00B57588" w:rsidP="00B57588">
      <w:pPr>
        <w:spacing w:after="0" w:line="240" w:lineRule="auto"/>
        <w:rPr>
          <w:rFonts w:eastAsia="Times New Roman" w:cstheme="minorHAnsi"/>
          <w:lang w:eastAsia="fi-FI"/>
        </w:rPr>
      </w:pPr>
      <w:r>
        <w:rPr>
          <w:rFonts w:eastAsia="Times New Roman" w:cstheme="minorHAnsi"/>
          <w:lang w:eastAsia="fi-FI"/>
        </w:rPr>
        <w:t>Vastaavasti hallintotuomioistuimiin osoitetaan pysyvä 3,3 milj. euron lisäys toimintamenoihin nykyisen vuoden 2028 asti olevan määräaikaisen tasonkorotuksen sijaan.</w:t>
      </w:r>
    </w:p>
    <w:p w:rsidR="00B57588" w:rsidRDefault="00B57588" w:rsidP="00B57588">
      <w:pPr>
        <w:spacing w:after="0" w:line="240" w:lineRule="auto"/>
        <w:rPr>
          <w:rFonts w:eastAsia="Times New Roman" w:cstheme="minorHAnsi"/>
          <w:lang w:eastAsia="fi-FI"/>
        </w:rPr>
      </w:pPr>
    </w:p>
    <w:p w:rsidR="00B57588" w:rsidRDefault="00B57588" w:rsidP="00B57588">
      <w:pPr>
        <w:spacing w:after="0" w:line="240" w:lineRule="auto"/>
      </w:pPr>
      <w:r>
        <w:rPr>
          <w:rFonts w:eastAsia="Times New Roman" w:cstheme="minorHAnsi"/>
          <w:lang w:eastAsia="fi-FI"/>
        </w:rPr>
        <w:t xml:space="preserve">Lisäksi on tarpeen varmistaa ja seurata, ettei </w:t>
      </w:r>
      <w:proofErr w:type="spellStart"/>
      <w:r>
        <w:rPr>
          <w:rFonts w:eastAsia="Times New Roman" w:cstheme="minorHAnsi"/>
          <w:lang w:eastAsia="fi-FI"/>
        </w:rPr>
        <w:t>ympäristöluvitukseen</w:t>
      </w:r>
      <w:proofErr w:type="spellEnd"/>
      <w:r>
        <w:rPr>
          <w:rFonts w:eastAsia="Times New Roman" w:cstheme="minorHAnsi"/>
          <w:lang w:eastAsia="fi-FI"/>
        </w:rPr>
        <w:t xml:space="preserve"> liittyvistä tehtävistä vähennetä pysyvää henkilöstöä ja ettei investointien lisääntyminen johda tilanteeseen, jossa voimavarojen vähyys hidastaisi lupakäsittelyä. </w:t>
      </w:r>
    </w:p>
    <w:sectPr w:rsidR="00B57588">
      <w:headerReference w:type="default" r:id="rId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BD5" w:rsidRDefault="00650BD5" w:rsidP="001B5613">
      <w:pPr>
        <w:spacing w:after="0" w:line="240" w:lineRule="auto"/>
      </w:pPr>
      <w:r>
        <w:separator/>
      </w:r>
    </w:p>
  </w:endnote>
  <w:endnote w:type="continuationSeparator" w:id="0">
    <w:p w:rsidR="00650BD5" w:rsidRDefault="00650BD5" w:rsidP="001B5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BD5" w:rsidRDefault="00650BD5" w:rsidP="001B5613">
      <w:pPr>
        <w:spacing w:after="0" w:line="240" w:lineRule="auto"/>
      </w:pPr>
      <w:r>
        <w:separator/>
      </w:r>
    </w:p>
  </w:footnote>
  <w:footnote w:type="continuationSeparator" w:id="0">
    <w:p w:rsidR="00650BD5" w:rsidRDefault="00650BD5" w:rsidP="001B5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588" w:rsidRDefault="00B57588" w:rsidP="00B57588">
    <w:pPr>
      <w:pStyle w:val="Yltunniste"/>
    </w:pPr>
    <w:r>
      <w:t>Lisätietoja:</w:t>
    </w:r>
  </w:p>
  <w:p w:rsidR="00B57588" w:rsidRDefault="00B57588" w:rsidP="00B57588">
    <w:pPr>
      <w:pStyle w:val="Yltunniste"/>
    </w:pPr>
    <w:r>
      <w:t>Kansliapäällikkö Juhani Damski, juhani.damski@gov.fi; +358295250445</w:t>
    </w:r>
  </w:p>
  <w:p w:rsidR="00B57588" w:rsidRDefault="00B57588" w:rsidP="00B57588">
    <w:pPr>
      <w:pStyle w:val="Yltunniste"/>
    </w:pPr>
    <w:r>
      <w:t>Kehittämisjohtaja Juho Korpi; juho.korpi@gov.fi; +358504343348</w:t>
    </w:r>
  </w:p>
  <w:p w:rsidR="001B5613" w:rsidRDefault="001B5613">
    <w:pPr>
      <w:pStyle w:val="Yltunnis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23B"/>
    <w:rsid w:val="000500A0"/>
    <w:rsid w:val="000A0F37"/>
    <w:rsid w:val="000A6A3F"/>
    <w:rsid w:val="000C018A"/>
    <w:rsid w:val="000D444D"/>
    <w:rsid w:val="000E209C"/>
    <w:rsid w:val="00102A29"/>
    <w:rsid w:val="00121AAF"/>
    <w:rsid w:val="00166F45"/>
    <w:rsid w:val="001739AB"/>
    <w:rsid w:val="001A3FAE"/>
    <w:rsid w:val="001B5613"/>
    <w:rsid w:val="00205B9B"/>
    <w:rsid w:val="00222591"/>
    <w:rsid w:val="00267EA2"/>
    <w:rsid w:val="00272C0E"/>
    <w:rsid w:val="002B41FA"/>
    <w:rsid w:val="002F483A"/>
    <w:rsid w:val="002F7428"/>
    <w:rsid w:val="00304641"/>
    <w:rsid w:val="00332DE9"/>
    <w:rsid w:val="00334FD0"/>
    <w:rsid w:val="003D414A"/>
    <w:rsid w:val="00412C83"/>
    <w:rsid w:val="0045237B"/>
    <w:rsid w:val="00475A03"/>
    <w:rsid w:val="004873D6"/>
    <w:rsid w:val="004C625A"/>
    <w:rsid w:val="005124D5"/>
    <w:rsid w:val="005211BC"/>
    <w:rsid w:val="00522CFB"/>
    <w:rsid w:val="0052739E"/>
    <w:rsid w:val="00533162"/>
    <w:rsid w:val="0059435B"/>
    <w:rsid w:val="005B60EF"/>
    <w:rsid w:val="00615589"/>
    <w:rsid w:val="00650BD5"/>
    <w:rsid w:val="0065317F"/>
    <w:rsid w:val="0067323E"/>
    <w:rsid w:val="0067353F"/>
    <w:rsid w:val="00691D42"/>
    <w:rsid w:val="0069597C"/>
    <w:rsid w:val="006F0545"/>
    <w:rsid w:val="007100AC"/>
    <w:rsid w:val="0073369B"/>
    <w:rsid w:val="00785558"/>
    <w:rsid w:val="007B1820"/>
    <w:rsid w:val="0080180D"/>
    <w:rsid w:val="00803562"/>
    <w:rsid w:val="008879A5"/>
    <w:rsid w:val="008A6632"/>
    <w:rsid w:val="008C4623"/>
    <w:rsid w:val="008C73B7"/>
    <w:rsid w:val="008E5E99"/>
    <w:rsid w:val="009D14C5"/>
    <w:rsid w:val="009D2E57"/>
    <w:rsid w:val="00A03F28"/>
    <w:rsid w:val="00A4005A"/>
    <w:rsid w:val="00A70C37"/>
    <w:rsid w:val="00A860E4"/>
    <w:rsid w:val="00AC695C"/>
    <w:rsid w:val="00AC6F69"/>
    <w:rsid w:val="00B24E8E"/>
    <w:rsid w:val="00B57588"/>
    <w:rsid w:val="00B6356F"/>
    <w:rsid w:val="00B63E81"/>
    <w:rsid w:val="00BA4DF2"/>
    <w:rsid w:val="00BB28B6"/>
    <w:rsid w:val="00BF0A47"/>
    <w:rsid w:val="00C1055B"/>
    <w:rsid w:val="00C163E0"/>
    <w:rsid w:val="00C51915"/>
    <w:rsid w:val="00C847BA"/>
    <w:rsid w:val="00D134D7"/>
    <w:rsid w:val="00D342A5"/>
    <w:rsid w:val="00D53B7D"/>
    <w:rsid w:val="00DA3C48"/>
    <w:rsid w:val="00DB7FB2"/>
    <w:rsid w:val="00DC1201"/>
    <w:rsid w:val="00DF0A6B"/>
    <w:rsid w:val="00DF43F3"/>
    <w:rsid w:val="00E40221"/>
    <w:rsid w:val="00E513BC"/>
    <w:rsid w:val="00E56101"/>
    <w:rsid w:val="00E9523B"/>
    <w:rsid w:val="00EB0D00"/>
    <w:rsid w:val="00F623E6"/>
    <w:rsid w:val="00F90056"/>
    <w:rsid w:val="00FB1C71"/>
    <w:rsid w:val="00FC2DE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5FF0A"/>
  <w15:chartTrackingRefBased/>
  <w15:docId w15:val="{1B2C3628-4C38-45E0-BF0A-A6483945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paragraph" w:styleId="Otsikko3">
    <w:name w:val="heading 3"/>
    <w:basedOn w:val="Normaali"/>
    <w:link w:val="Otsikko3Char"/>
    <w:uiPriority w:val="9"/>
    <w:qFormat/>
    <w:rsid w:val="00E9523B"/>
    <w:pPr>
      <w:spacing w:before="100" w:beforeAutospacing="1" w:after="100" w:afterAutospacing="1" w:line="240" w:lineRule="auto"/>
      <w:outlineLvl w:val="2"/>
    </w:pPr>
    <w:rPr>
      <w:rFonts w:ascii="Times New Roman" w:eastAsia="Times New Roman" w:hAnsi="Times New Roman" w:cs="Times New Roman"/>
      <w:b/>
      <w:bCs/>
      <w:sz w:val="27"/>
      <w:szCs w:val="27"/>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3Char">
    <w:name w:val="Otsikko 3 Char"/>
    <w:basedOn w:val="Kappaleenoletusfontti"/>
    <w:link w:val="Otsikko3"/>
    <w:uiPriority w:val="9"/>
    <w:rsid w:val="00E9523B"/>
    <w:rPr>
      <w:rFonts w:ascii="Times New Roman" w:eastAsia="Times New Roman" w:hAnsi="Times New Roman" w:cs="Times New Roman"/>
      <w:b/>
      <w:bCs/>
      <w:sz w:val="27"/>
      <w:szCs w:val="27"/>
      <w:lang w:eastAsia="fi-FI"/>
    </w:rPr>
  </w:style>
  <w:style w:type="paragraph" w:customStyle="1" w:styleId="heading3">
    <w:name w:val="heading3"/>
    <w:basedOn w:val="Normaali"/>
    <w:rsid w:val="00E9523B"/>
    <w:pPr>
      <w:spacing w:before="100" w:beforeAutospacing="1" w:after="100" w:afterAutospacing="1" w:line="240" w:lineRule="auto"/>
    </w:pPr>
    <w:rPr>
      <w:rFonts w:ascii="Times New Roman" w:eastAsia="Times New Roman" w:hAnsi="Times New Roman" w:cs="Times New Roman"/>
      <w:sz w:val="24"/>
      <w:szCs w:val="24"/>
      <w:lang w:eastAsia="fi-FI"/>
    </w:rPr>
  </w:style>
  <w:style w:type="paragraph" w:customStyle="1" w:styleId="te">
    <w:name w:val="te"/>
    <w:basedOn w:val="Normaali"/>
    <w:rsid w:val="00E9523B"/>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styleId="Hyperlinkki">
    <w:name w:val="Hyperlink"/>
    <w:basedOn w:val="Kappaleenoletusfontti"/>
    <w:uiPriority w:val="99"/>
    <w:semiHidden/>
    <w:unhideWhenUsed/>
    <w:rsid w:val="00E9523B"/>
    <w:rPr>
      <w:color w:val="0000FF"/>
      <w:u w:val="single"/>
    </w:rPr>
  </w:style>
  <w:style w:type="paragraph" w:customStyle="1" w:styleId="Default">
    <w:name w:val="Default"/>
    <w:rsid w:val="0073369B"/>
    <w:pPr>
      <w:autoSpaceDE w:val="0"/>
      <w:autoSpaceDN w:val="0"/>
      <w:adjustRightInd w:val="0"/>
      <w:spacing w:after="0" w:line="240" w:lineRule="auto"/>
    </w:pPr>
    <w:rPr>
      <w:rFonts w:ascii="Calibri" w:hAnsi="Calibri" w:cs="Calibri"/>
      <w:color w:val="000000"/>
      <w:sz w:val="24"/>
      <w:szCs w:val="24"/>
    </w:rPr>
  </w:style>
  <w:style w:type="character" w:customStyle="1" w:styleId="mmtmnimi">
    <w:name w:val="mmtm_nimi"/>
    <w:basedOn w:val="Kappaleenoletusfontti"/>
    <w:rsid w:val="008C4623"/>
  </w:style>
  <w:style w:type="character" w:customStyle="1" w:styleId="mrl">
    <w:name w:val="mrl"/>
    <w:basedOn w:val="Kappaleenoletusfontti"/>
    <w:rsid w:val="008C4623"/>
  </w:style>
  <w:style w:type="character" w:styleId="Kommentinviite">
    <w:name w:val="annotation reference"/>
    <w:basedOn w:val="Kappaleenoletusfontti"/>
    <w:uiPriority w:val="99"/>
    <w:semiHidden/>
    <w:unhideWhenUsed/>
    <w:rsid w:val="00C1055B"/>
    <w:rPr>
      <w:sz w:val="16"/>
      <w:szCs w:val="16"/>
    </w:rPr>
  </w:style>
  <w:style w:type="paragraph" w:styleId="Kommentinteksti">
    <w:name w:val="annotation text"/>
    <w:basedOn w:val="Normaali"/>
    <w:link w:val="KommentintekstiChar"/>
    <w:uiPriority w:val="99"/>
    <w:semiHidden/>
    <w:unhideWhenUsed/>
    <w:rsid w:val="00C1055B"/>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C1055B"/>
    <w:rPr>
      <w:sz w:val="20"/>
      <w:szCs w:val="20"/>
    </w:rPr>
  </w:style>
  <w:style w:type="paragraph" w:styleId="Kommentinotsikko">
    <w:name w:val="annotation subject"/>
    <w:basedOn w:val="Kommentinteksti"/>
    <w:next w:val="Kommentinteksti"/>
    <w:link w:val="KommentinotsikkoChar"/>
    <w:uiPriority w:val="99"/>
    <w:semiHidden/>
    <w:unhideWhenUsed/>
    <w:rsid w:val="00C1055B"/>
    <w:rPr>
      <w:b/>
      <w:bCs/>
    </w:rPr>
  </w:style>
  <w:style w:type="character" w:customStyle="1" w:styleId="KommentinotsikkoChar">
    <w:name w:val="Kommentin otsikko Char"/>
    <w:basedOn w:val="KommentintekstiChar"/>
    <w:link w:val="Kommentinotsikko"/>
    <w:uiPriority w:val="99"/>
    <w:semiHidden/>
    <w:rsid w:val="00C1055B"/>
    <w:rPr>
      <w:b/>
      <w:bCs/>
      <w:sz w:val="20"/>
      <w:szCs w:val="20"/>
    </w:rPr>
  </w:style>
  <w:style w:type="paragraph" w:styleId="Seliteteksti">
    <w:name w:val="Balloon Text"/>
    <w:basedOn w:val="Normaali"/>
    <w:link w:val="SelitetekstiChar"/>
    <w:uiPriority w:val="99"/>
    <w:semiHidden/>
    <w:unhideWhenUsed/>
    <w:rsid w:val="00C1055B"/>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C1055B"/>
    <w:rPr>
      <w:rFonts w:ascii="Segoe UI" w:hAnsi="Segoe UI" w:cs="Segoe UI"/>
      <w:sz w:val="18"/>
      <w:szCs w:val="18"/>
    </w:rPr>
  </w:style>
  <w:style w:type="paragraph" w:styleId="Yltunniste">
    <w:name w:val="header"/>
    <w:basedOn w:val="Normaali"/>
    <w:link w:val="YltunnisteChar"/>
    <w:uiPriority w:val="99"/>
    <w:unhideWhenUsed/>
    <w:rsid w:val="001B561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1B5613"/>
  </w:style>
  <w:style w:type="paragraph" w:styleId="Alatunniste">
    <w:name w:val="footer"/>
    <w:basedOn w:val="Normaali"/>
    <w:link w:val="AlatunnisteChar"/>
    <w:uiPriority w:val="99"/>
    <w:unhideWhenUsed/>
    <w:rsid w:val="001B561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1B5613"/>
  </w:style>
  <w:style w:type="table" w:styleId="TaulukkoRuudukko">
    <w:name w:val="Table Grid"/>
    <w:basedOn w:val="Normaalitaulukko"/>
    <w:uiPriority w:val="39"/>
    <w:rsid w:val="002B4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uettelokappale">
    <w:name w:val="List Paragraph"/>
    <w:basedOn w:val="Normaali"/>
    <w:uiPriority w:val="34"/>
    <w:qFormat/>
    <w:rsid w:val="00B57588"/>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27169">
      <w:bodyDiv w:val="1"/>
      <w:marLeft w:val="0"/>
      <w:marRight w:val="0"/>
      <w:marTop w:val="0"/>
      <w:marBottom w:val="0"/>
      <w:divBdr>
        <w:top w:val="none" w:sz="0" w:space="0" w:color="auto"/>
        <w:left w:val="none" w:sz="0" w:space="0" w:color="auto"/>
        <w:bottom w:val="none" w:sz="0" w:space="0" w:color="auto"/>
        <w:right w:val="none" w:sz="0" w:space="0" w:color="auto"/>
      </w:divBdr>
    </w:div>
    <w:div w:id="367678882">
      <w:bodyDiv w:val="1"/>
      <w:marLeft w:val="0"/>
      <w:marRight w:val="0"/>
      <w:marTop w:val="0"/>
      <w:marBottom w:val="0"/>
      <w:divBdr>
        <w:top w:val="none" w:sz="0" w:space="0" w:color="auto"/>
        <w:left w:val="none" w:sz="0" w:space="0" w:color="auto"/>
        <w:bottom w:val="none" w:sz="0" w:space="0" w:color="auto"/>
        <w:right w:val="none" w:sz="0" w:space="0" w:color="auto"/>
      </w:divBdr>
    </w:div>
    <w:div w:id="378212490">
      <w:bodyDiv w:val="1"/>
      <w:marLeft w:val="0"/>
      <w:marRight w:val="0"/>
      <w:marTop w:val="0"/>
      <w:marBottom w:val="0"/>
      <w:divBdr>
        <w:top w:val="none" w:sz="0" w:space="0" w:color="auto"/>
        <w:left w:val="none" w:sz="0" w:space="0" w:color="auto"/>
        <w:bottom w:val="none" w:sz="0" w:space="0" w:color="auto"/>
        <w:right w:val="none" w:sz="0" w:space="0" w:color="auto"/>
      </w:divBdr>
    </w:div>
    <w:div w:id="527448136">
      <w:bodyDiv w:val="1"/>
      <w:marLeft w:val="0"/>
      <w:marRight w:val="0"/>
      <w:marTop w:val="0"/>
      <w:marBottom w:val="0"/>
      <w:divBdr>
        <w:top w:val="none" w:sz="0" w:space="0" w:color="auto"/>
        <w:left w:val="none" w:sz="0" w:space="0" w:color="auto"/>
        <w:bottom w:val="none" w:sz="0" w:space="0" w:color="auto"/>
        <w:right w:val="none" w:sz="0" w:space="0" w:color="auto"/>
      </w:divBdr>
    </w:div>
    <w:div w:id="544223484">
      <w:bodyDiv w:val="1"/>
      <w:marLeft w:val="0"/>
      <w:marRight w:val="0"/>
      <w:marTop w:val="0"/>
      <w:marBottom w:val="0"/>
      <w:divBdr>
        <w:top w:val="none" w:sz="0" w:space="0" w:color="auto"/>
        <w:left w:val="none" w:sz="0" w:space="0" w:color="auto"/>
        <w:bottom w:val="none" w:sz="0" w:space="0" w:color="auto"/>
        <w:right w:val="none" w:sz="0" w:space="0" w:color="auto"/>
      </w:divBdr>
    </w:div>
    <w:div w:id="1465661275">
      <w:bodyDiv w:val="1"/>
      <w:marLeft w:val="0"/>
      <w:marRight w:val="0"/>
      <w:marTop w:val="0"/>
      <w:marBottom w:val="0"/>
      <w:divBdr>
        <w:top w:val="none" w:sz="0" w:space="0" w:color="auto"/>
        <w:left w:val="none" w:sz="0" w:space="0" w:color="auto"/>
        <w:bottom w:val="none" w:sz="0" w:space="0" w:color="auto"/>
        <w:right w:val="none" w:sz="0" w:space="0" w:color="auto"/>
      </w:divBdr>
    </w:div>
    <w:div w:id="186609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Props1.xml><?xml version="1.0" encoding="utf-8"?>
<ds:datastoreItem xmlns:ds="http://schemas.openxmlformats.org/officeDocument/2006/customXml" ds:itemID="{C0AAEA94-4297-4589-98D0-8E176C49C13D}">
  <ds:schemaRefs>
    <ds:schemaRef ds:uri="http://schemas.openxmlformats.org/officeDocument/2006/bibliography"/>
  </ds:schemaRefs>
</ds:datastoreItem>
</file>

<file path=customXml/itemProps2.xml><?xml version="1.0" encoding="utf-8"?>
<ds:datastoreItem xmlns:ds="http://schemas.openxmlformats.org/officeDocument/2006/customXml" ds:itemID="{5EFFD800-033F-4948-B573-D8E2782E9584}"/>
</file>

<file path=customXml/itemProps3.xml><?xml version="1.0" encoding="utf-8"?>
<ds:datastoreItem xmlns:ds="http://schemas.openxmlformats.org/officeDocument/2006/customXml" ds:itemID="{F7110D36-DD0E-4841-BEE9-802DCC5F283C}"/>
</file>

<file path=customXml/itemProps4.xml><?xml version="1.0" encoding="utf-8"?>
<ds:datastoreItem xmlns:ds="http://schemas.openxmlformats.org/officeDocument/2006/customXml" ds:itemID="{BB42A480-6A6A-4AE7-9C13-7156075487EA}"/>
</file>

<file path=customXml/itemProps5.xml><?xml version="1.0" encoding="utf-8"?>
<ds:datastoreItem xmlns:ds="http://schemas.openxmlformats.org/officeDocument/2006/customXml" ds:itemID="{52B26226-13CF-4738-BB84-883FDFFB89C1}"/>
</file>

<file path=docProps/app.xml><?xml version="1.0" encoding="utf-8"?>
<Properties xmlns="http://schemas.openxmlformats.org/officeDocument/2006/extended-properties" xmlns:vt="http://schemas.openxmlformats.org/officeDocument/2006/docPropsVTypes">
  <Template>Normal.dotm</Template>
  <TotalTime>1</TotalTime>
  <Pages>2</Pages>
  <Words>576</Words>
  <Characters>4666</Characters>
  <Application>Microsoft Office Word</Application>
  <DocSecurity>0</DocSecurity>
  <Lines>38</Lines>
  <Paragraphs>10</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Jylhä Sanna (YM)</dc:creator>
  <cp:keywords/>
  <dc:description/>
  <cp:lastModifiedBy>Korpi Juho (YM)</cp:lastModifiedBy>
  <cp:revision>2</cp:revision>
  <dcterms:created xsi:type="dcterms:W3CDTF">2023-04-24T08:06:00Z</dcterms:created>
  <dcterms:modified xsi:type="dcterms:W3CDTF">2023-04-24T08:06:00Z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ies>
</file>